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F6E6E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四川大学华西第四医院关于2</w:t>
      </w:r>
      <w:r>
        <w:rPr>
          <w:rFonts w:ascii="方正小标宋简体" w:eastAsia="方正小标宋简体"/>
          <w:sz w:val="44"/>
          <w:szCs w:val="44"/>
        </w:rPr>
        <w:t>024</w:t>
      </w:r>
      <w:r>
        <w:rPr>
          <w:rFonts w:hint="eastAsia" w:ascii="方正小标宋简体" w:eastAsia="方正小标宋简体"/>
          <w:sz w:val="44"/>
          <w:szCs w:val="44"/>
        </w:rPr>
        <w:t>年上半年接受捐赠情况公示</w:t>
      </w:r>
    </w:p>
    <w:p w14:paraId="1A8B2568"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</w:p>
    <w:p w14:paraId="54D2BC54">
      <w:pPr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根据《中华人民共和国公益事业捐赠法》、国家卫生计生委国家中医药管理局《卫生计生单位接受公益事业捐赠管理办法（试行）》（国卫财务发〔</w:t>
      </w:r>
      <w:r>
        <w:rPr>
          <w:rFonts w:ascii="仿宋_GB2312" w:eastAsia="仿宋_GB2312"/>
          <w:sz w:val="32"/>
          <w:szCs w:val="32"/>
        </w:rPr>
        <w:t>2015〕77号</w:t>
      </w:r>
      <w:r>
        <w:rPr>
          <w:rFonts w:hint="eastAsia" w:ascii="仿宋_GB2312" w:eastAsia="仿宋_GB2312"/>
          <w:sz w:val="32"/>
          <w:szCs w:val="32"/>
        </w:rPr>
        <w:t>）等相关规定，为切实做好捐赠款物的使用管理，确保医院捐赠工作的规范高效、公开透明，现将捐赠情况公示如下。</w:t>
      </w:r>
    </w:p>
    <w:p w14:paraId="492FE6A5">
      <w:pPr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11CCC513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</w:t>
      </w:r>
      <w:r>
        <w:rPr>
          <w:rFonts w:ascii="仿宋_GB2312" w:eastAsia="仿宋_GB2312"/>
          <w:sz w:val="32"/>
          <w:szCs w:val="32"/>
        </w:rPr>
        <w:t>024</w:t>
      </w:r>
      <w:r>
        <w:rPr>
          <w:rFonts w:hint="eastAsia" w:ascii="仿宋_GB2312" w:eastAsia="仿宋_GB2312"/>
          <w:sz w:val="32"/>
          <w:szCs w:val="32"/>
        </w:rPr>
        <w:t>年上半年接受捐赠情况</w:t>
      </w:r>
    </w:p>
    <w:tbl>
      <w:tblPr>
        <w:tblStyle w:val="3"/>
        <w:tblW w:w="822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701"/>
        <w:gridCol w:w="3119"/>
      </w:tblGrid>
      <w:tr w14:paraId="0565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9AF3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686C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捐赠单位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8FA5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捐赠金额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949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捐赠用途</w:t>
            </w:r>
          </w:p>
        </w:tc>
      </w:tr>
      <w:tr w14:paraId="05F73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F615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6CD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中国长江三峡集团有限公司四川分公司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1457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300000元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202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开展高原职业人群健康监测与预警体系等相关研究</w:t>
            </w:r>
          </w:p>
        </w:tc>
      </w:tr>
    </w:tbl>
    <w:p w14:paraId="0F350338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p w14:paraId="1ACF5E79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四川大学华西第四医院</w:t>
      </w:r>
    </w:p>
    <w:p w14:paraId="14B2A97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024</w:t>
      </w:r>
      <w:r>
        <w:rPr>
          <w:rFonts w:hint="eastAsia" w:ascii="仿宋_GB2312" w:eastAsia="仿宋_GB2312"/>
          <w:sz w:val="32"/>
          <w:szCs w:val="32"/>
        </w:rPr>
        <w:t>年8月2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7D"/>
    <w:rsid w:val="000C1C21"/>
    <w:rsid w:val="00102EAB"/>
    <w:rsid w:val="001D364F"/>
    <w:rsid w:val="00294A73"/>
    <w:rsid w:val="002D7DF7"/>
    <w:rsid w:val="00317EC1"/>
    <w:rsid w:val="0047099E"/>
    <w:rsid w:val="00706C62"/>
    <w:rsid w:val="007C27AB"/>
    <w:rsid w:val="008B3CCC"/>
    <w:rsid w:val="00973BA0"/>
    <w:rsid w:val="009D5BA0"/>
    <w:rsid w:val="00C6017D"/>
    <w:rsid w:val="00DC3A1C"/>
    <w:rsid w:val="00EA1364"/>
    <w:rsid w:val="79DA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232</Words>
  <Characters>251</Characters>
  <Lines>1</Lines>
  <Paragraphs>1</Paragraphs>
  <TotalTime>92</TotalTime>
  <ScaleCrop>false</ScaleCrop>
  <LinksUpToDate>false</LinksUpToDate>
  <CharactersWithSpaces>251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2024-08-27T06:43:00Z</dcterms:created>
  <dc:creator>王云翔</dc:creator>
  <cp:lastModifiedBy>嫣笑</cp:lastModifiedBy>
  <cp:lastPrinted>2024-08-27T08:25:00Z</cp:lastPrinted>
  <dcterms:modified xsi:type="dcterms:W3CDTF">2024-09-03T01:58:05Z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7F28B0C32A404C2389A9F59AFDB55EFE_13</vt:lpwstr>
  </property>
</Properties>
</file>